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B5" w:rsidRPr="00762941" w:rsidRDefault="002948B5" w:rsidP="002948B5">
      <w:pPr>
        <w:jc w:val="center"/>
        <w:rPr>
          <w:rFonts w:ascii="Arial" w:hAnsi="Arial" w:cs="Arial"/>
          <w:b/>
        </w:rPr>
      </w:pPr>
      <w:r w:rsidRPr="00BE231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8FE9" wp14:editId="1BA2A85A">
                <wp:simplePos x="0" y="0"/>
                <wp:positionH relativeFrom="column">
                  <wp:posOffset>5629910</wp:posOffset>
                </wp:positionH>
                <wp:positionV relativeFrom="paragraph">
                  <wp:posOffset>-104775</wp:posOffset>
                </wp:positionV>
                <wp:extent cx="1428750" cy="81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5" w:rsidRDefault="002948B5" w:rsidP="00854C85">
                            <w:pPr>
                              <w:ind w:left="-180" w:right="1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5D81E" wp14:editId="7EC0DDC5">
                                  <wp:extent cx="1376363" cy="819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RC_BW_logo.tif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8065" t="-8415" r="-8468" b="-231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363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3pt;margin-top:-8.25pt;width:11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" filled="f" stroked="f">
                <v:textbox>
                  <w:txbxContent>
                    <w:p w:rsidR="002948B5" w:rsidRDefault="002948B5" w:rsidP="00854C85">
                      <w:pPr>
                        <w:ind w:left="-180" w:right="1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5D81E" wp14:editId="7EC0DDC5">
                            <wp:extent cx="1376363" cy="819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RC_BW_logo.tif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8065" t="-8415" r="-8468" b="-231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76363" cy="819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2941">
        <w:rPr>
          <w:rFonts w:ascii="Arial" w:hAnsi="Arial" w:cs="Arial"/>
          <w:b/>
        </w:rPr>
        <w:t>NON-METERED HOLIDAY LIGHTING</w:t>
      </w:r>
    </w:p>
    <w:p w:rsidR="002948B5" w:rsidRPr="00762941" w:rsidRDefault="002948B5" w:rsidP="002948B5">
      <w:pPr>
        <w:jc w:val="center"/>
        <w:rPr>
          <w:rFonts w:ascii="Arial" w:hAnsi="Arial" w:cs="Arial"/>
          <w:b/>
        </w:rPr>
      </w:pPr>
      <w:r w:rsidRPr="00762941">
        <w:rPr>
          <w:rFonts w:ascii="Arial" w:hAnsi="Arial" w:cs="Arial"/>
          <w:b/>
        </w:rPr>
        <w:t>BILLING AGREEMENT A</w:t>
      </w:r>
      <w:r>
        <w:rPr>
          <w:rFonts w:ascii="Arial" w:hAnsi="Arial" w:cs="Arial"/>
          <w:b/>
        </w:rPr>
        <w:t>ND/OR DECORATION ATTACHMENT</w:t>
      </w:r>
    </w:p>
    <w:p w:rsidR="002948B5" w:rsidRPr="00762941" w:rsidRDefault="002948B5" w:rsidP="002948B5">
      <w:pPr>
        <w:jc w:val="center"/>
        <w:rPr>
          <w:rFonts w:ascii="Arial" w:hAnsi="Arial" w:cs="Arial"/>
          <w:b/>
          <w:sz w:val="18"/>
          <w:szCs w:val="18"/>
        </w:rPr>
      </w:pPr>
    </w:p>
    <w:p w:rsidR="002948B5" w:rsidRDefault="002948B5" w:rsidP="00625470">
      <w:pPr>
        <w:spacing w:line="225" w:lineRule="exact"/>
        <w:ind w:righ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Upper Michigan Energy Resources Corporation</w:t>
      </w:r>
      <w:r w:rsidRPr="00B16EA2">
        <w:rPr>
          <w:rFonts w:ascii="Arial" w:hAnsi="Arial" w:cs="Arial"/>
          <w:sz w:val="18"/>
          <w:szCs w:val="18"/>
        </w:rPr>
        <w:t xml:space="preserve"> (the Licensor) hereby grants the </w:t>
      </w:r>
      <w:bookmarkStart w:id="0" w:name="_GoBack"/>
      <w:r>
        <w:rPr>
          <w:rFonts w:ascii="Arial" w:hAnsi="Arial" w:cs="Arial"/>
          <w:color w:val="FF0000"/>
          <w:sz w:val="18"/>
          <w:szCs w:val="18"/>
        </w:rPr>
        <w:fldChar w:fldCharType="begin">
          <w:ffData>
            <w:name w:val="bmkCity"/>
            <w:enabled/>
            <w:calcOnExit/>
            <w:ddList>
              <w:listEntry w:val="DROP DOWN"/>
              <w:listEntry w:val="City"/>
              <w:listEntry w:val="Town"/>
              <w:listEntry w:val="Township"/>
              <w:listEntry w:val="Village"/>
            </w:ddList>
          </w:ffData>
        </w:fldChar>
      </w:r>
      <w:bookmarkStart w:id="1" w:name="bmkCity"/>
      <w:r>
        <w:rPr>
          <w:rFonts w:ascii="Arial" w:hAnsi="Arial" w:cs="Arial"/>
          <w:color w:val="FF0000"/>
          <w:sz w:val="18"/>
          <w:szCs w:val="18"/>
        </w:rPr>
        <w:instrText xml:space="preserve"> FORMDROPDOWN </w:instrText>
      </w:r>
      <w:r w:rsidR="008E1CDE">
        <w:rPr>
          <w:rFonts w:ascii="Arial" w:hAnsi="Arial" w:cs="Arial"/>
          <w:color w:val="FF0000"/>
          <w:sz w:val="18"/>
          <w:szCs w:val="18"/>
        </w:rPr>
      </w:r>
      <w:r w:rsidR="008E1CDE">
        <w:rPr>
          <w:rFonts w:ascii="Arial" w:hAnsi="Arial" w:cs="Arial"/>
          <w:color w:val="FF0000"/>
          <w:sz w:val="18"/>
          <w:szCs w:val="18"/>
        </w:rPr>
        <w:fldChar w:fldCharType="separate"/>
      </w:r>
      <w:r>
        <w:rPr>
          <w:rFonts w:ascii="Arial" w:hAnsi="Arial" w:cs="Arial"/>
          <w:color w:val="FF0000"/>
          <w:sz w:val="18"/>
          <w:szCs w:val="18"/>
        </w:rPr>
        <w:fldChar w:fldCharType="end"/>
      </w:r>
      <w:bookmarkEnd w:id="1"/>
      <w:bookmarkEnd w:id="0"/>
      <w:r w:rsidRPr="00B16EA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16EA2">
        <w:rPr>
          <w:rFonts w:ascii="Arial" w:hAnsi="Arial" w:cs="Arial"/>
          <w:sz w:val="18"/>
          <w:szCs w:val="18"/>
        </w:rPr>
        <w:t xml:space="preserve">of </w:t>
      </w:r>
      <w:proofErr w:type="gramEnd"/>
      <w:r>
        <w:rPr>
          <w:rFonts w:ascii="Arial" w:hAnsi="Arial" w:cs="Arial"/>
          <w:sz w:val="18"/>
          <w:szCs w:val="18"/>
        </w:rPr>
        <w:fldChar w:fldCharType="begin">
          <w:ffData>
            <w:name w:val="bmkMuni"/>
            <w:enabled/>
            <w:calcOnExit/>
            <w:statusText w:type="text" w:val="ENTER THE NAME OF THE MUNICIPALITY."/>
            <w:textInput/>
          </w:ffData>
        </w:fldChar>
      </w:r>
      <w:bookmarkStart w:id="2" w:name="bmkMuni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Pr="00B16EA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Michigan</w:t>
      </w:r>
      <w:r w:rsidRPr="00B16EA2">
        <w:rPr>
          <w:rFonts w:ascii="Arial" w:hAnsi="Arial" w:cs="Arial"/>
          <w:sz w:val="18"/>
          <w:szCs w:val="18"/>
        </w:rPr>
        <w:t xml:space="preserve"> (the Licensee) a gratuitous revocable license to make temporary attachments of approved holiday lighting and /or decorations on poles within jurisdiction of Licensee, subject to the following terms and conditions:</w:t>
      </w:r>
    </w:p>
    <w:p w:rsidR="002948B5" w:rsidRPr="00B16EA2" w:rsidRDefault="002948B5" w:rsidP="002948B5">
      <w:pPr>
        <w:spacing w:line="225" w:lineRule="exact"/>
        <w:ind w:right="1458"/>
        <w:rPr>
          <w:rFonts w:ascii="Arial" w:hAnsi="Arial" w:cs="Arial"/>
          <w:sz w:val="18"/>
          <w:szCs w:val="18"/>
        </w:rPr>
      </w:pPr>
    </w:p>
    <w:p w:rsidR="002948B5" w:rsidRPr="00B16EA2" w:rsidRDefault="002948B5" w:rsidP="002948B5">
      <w:pPr>
        <w:numPr>
          <w:ilvl w:val="0"/>
          <w:numId w:val="1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 xml:space="preserve">All such attachments shall be made in accordance with the standards prescribed by the State Electrical Code. 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This license shall be revocable on 10 days’ prior written notice at the discretion of the Licensor.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 xml:space="preserve">Licensee hereby releases and discharges Licensor from any loss or damage to Licensee’s lighting and / or decoration </w:t>
      </w:r>
      <w:r>
        <w:rPr>
          <w:rFonts w:ascii="Arial" w:hAnsi="Arial" w:cs="Arial"/>
          <w:sz w:val="18"/>
          <w:szCs w:val="18"/>
        </w:rPr>
        <w:t>that</w:t>
      </w:r>
      <w:r w:rsidRPr="00B16EA2">
        <w:rPr>
          <w:rFonts w:ascii="Arial" w:hAnsi="Arial" w:cs="Arial"/>
          <w:sz w:val="18"/>
          <w:szCs w:val="18"/>
        </w:rPr>
        <w:t xml:space="preserve"> it may sustain by reason of the failure of Licensor’s poles, conductors or other equipment from any cause.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Licensee shall indemnify and save harmless the Licensor against any claim for damage to property or injury to or death of persons (including employees of Licensor) either solel</w:t>
      </w:r>
      <w:r>
        <w:rPr>
          <w:rFonts w:ascii="Arial" w:hAnsi="Arial" w:cs="Arial"/>
          <w:sz w:val="18"/>
          <w:szCs w:val="18"/>
        </w:rPr>
        <w:t>y or partially resulting from th</w:t>
      </w:r>
      <w:r w:rsidRPr="00B16EA2">
        <w:rPr>
          <w:rFonts w:ascii="Arial" w:hAnsi="Arial" w:cs="Arial"/>
          <w:sz w:val="18"/>
          <w:szCs w:val="18"/>
        </w:rPr>
        <w:t>e attachments, presence or removal of Licensee’s lighting and/or decorations.</w:t>
      </w:r>
    </w:p>
    <w:p w:rsidR="002948B5" w:rsidRDefault="002948B5" w:rsidP="002948B5">
      <w:pPr>
        <w:numPr>
          <w:ilvl w:val="0"/>
          <w:numId w:val="2"/>
        </w:numPr>
        <w:spacing w:after="120" w:line="225" w:lineRule="exact"/>
        <w:ind w:left="806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All attachments shall be installed no sooner than Nov</w:t>
      </w:r>
      <w:r>
        <w:rPr>
          <w:rFonts w:ascii="Arial" w:hAnsi="Arial" w:cs="Arial"/>
          <w:sz w:val="18"/>
          <w:szCs w:val="18"/>
        </w:rPr>
        <w:t>.</w:t>
      </w:r>
      <w:r w:rsidRPr="00B16EA2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, 2019</w:t>
      </w:r>
      <w:r w:rsidRPr="00B16EA2">
        <w:rPr>
          <w:rFonts w:ascii="Arial" w:hAnsi="Arial" w:cs="Arial"/>
          <w:sz w:val="18"/>
          <w:szCs w:val="18"/>
        </w:rPr>
        <w:t xml:space="preserve"> and removed no later than Jan</w:t>
      </w:r>
      <w:r>
        <w:rPr>
          <w:rFonts w:ascii="Arial" w:hAnsi="Arial" w:cs="Arial"/>
          <w:sz w:val="18"/>
          <w:szCs w:val="18"/>
        </w:rPr>
        <w:t>.</w:t>
      </w:r>
      <w:r w:rsidRPr="00B16EA2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>, 2020</w:t>
      </w:r>
      <w:r w:rsidRPr="00B16EA2">
        <w:rPr>
          <w:rFonts w:ascii="Arial" w:hAnsi="Arial" w:cs="Arial"/>
          <w:sz w:val="18"/>
          <w:szCs w:val="18"/>
        </w:rPr>
        <w:t>.</w:t>
      </w:r>
    </w:p>
    <w:p w:rsidR="002948B5" w:rsidRPr="00651A71" w:rsidRDefault="002948B5" w:rsidP="002948B5">
      <w:pPr>
        <w:spacing w:line="225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170"/>
        <w:gridCol w:w="3303"/>
        <w:gridCol w:w="1107"/>
        <w:gridCol w:w="1350"/>
        <w:gridCol w:w="900"/>
        <w:gridCol w:w="1080"/>
        <w:gridCol w:w="900"/>
      </w:tblGrid>
      <w:tr w:rsidR="002948B5" w:rsidRPr="00762941" w:rsidTr="00BF386F">
        <w:trPr>
          <w:trHeight w:val="1195"/>
        </w:trPr>
        <w:tc>
          <w:tcPr>
            <w:tcW w:w="6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48B5" w:rsidRPr="00776FD0" w:rsidRDefault="002948B5" w:rsidP="00BF386F">
            <w:pPr>
              <w:tabs>
                <w:tab w:val="left" w:pos="1512"/>
                <w:tab w:val="left" w:pos="6354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name</w:t>
            </w: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F474F0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4F0">
              <w:rPr>
                <w:rFonts w:ascii="Arial" w:hAnsi="Arial"/>
                <w:u w:val="single"/>
              </w:rPr>
              <w:instrText xml:space="preserve"> FORMTEXT </w:instrText>
            </w:r>
            <w:r w:rsidRPr="00F474F0">
              <w:rPr>
                <w:rFonts w:ascii="Arial" w:hAnsi="Arial"/>
                <w:u w:val="single"/>
              </w:rPr>
            </w:r>
            <w:r w:rsidRPr="00F474F0">
              <w:rPr>
                <w:rFonts w:ascii="Arial" w:hAnsi="Arial"/>
                <w:u w:val="single"/>
              </w:rPr>
              <w:fldChar w:fldCharType="separate"/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1512"/>
                <w:tab w:val="left" w:leader="underscore" w:pos="63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</w:t>
            </w: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1512"/>
                <w:tab w:val="left" w:leader="underscore" w:pos="63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6294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ccount number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2948B5" w:rsidRPr="00762941" w:rsidTr="00BF386F">
        <w:trPr>
          <w:trHeight w:val="539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set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removed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No. of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fixtures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Watts per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fixture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No. of days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Hours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Total kWh</w:t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textInput/>
                </w:ffData>
              </w:fldChar>
            </w:r>
            <w:bookmarkStart w:id="3" w:name="txtFinishWidth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bmkCity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256D4" w:rsidTr="00BF386F">
        <w:trPr>
          <w:trHeight w:val="288"/>
        </w:trPr>
        <w:tc>
          <w:tcPr>
            <w:tcW w:w="6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948B5" w:rsidRPr="007256D4" w:rsidRDefault="002948B5" w:rsidP="00BF386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776FD0" w:rsidRDefault="002948B5" w:rsidP="00BF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kWh for billing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776FD0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2948B5" w:rsidRPr="0095321B" w:rsidRDefault="002948B5" w:rsidP="002948B5">
      <w:pPr>
        <w:tabs>
          <w:tab w:val="left" w:pos="3240"/>
          <w:tab w:val="right" w:pos="90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 xml:space="preserve">*    Use 14 </w:t>
      </w:r>
      <w:r>
        <w:rPr>
          <w:rFonts w:ascii="Arial" w:hAnsi="Arial" w:cs="Arial"/>
          <w:sz w:val="18"/>
          <w:szCs w:val="18"/>
        </w:rPr>
        <w:t xml:space="preserve">hours per </w:t>
      </w:r>
      <w:r w:rsidRPr="0095321B">
        <w:rPr>
          <w:rFonts w:ascii="Arial" w:hAnsi="Arial" w:cs="Arial"/>
          <w:sz w:val="18"/>
          <w:szCs w:val="18"/>
        </w:rPr>
        <w:t>day for Nov</w:t>
      </w:r>
      <w:r>
        <w:rPr>
          <w:rFonts w:ascii="Arial" w:hAnsi="Arial" w:cs="Arial"/>
          <w:sz w:val="18"/>
          <w:szCs w:val="18"/>
        </w:rPr>
        <w:t xml:space="preserve">ember through </w:t>
      </w:r>
      <w:r w:rsidRPr="0095321B">
        <w:rPr>
          <w:rFonts w:ascii="Arial" w:hAnsi="Arial" w:cs="Arial"/>
          <w:sz w:val="18"/>
          <w:szCs w:val="18"/>
        </w:rPr>
        <w:t>Jan</w:t>
      </w:r>
      <w:r>
        <w:rPr>
          <w:rFonts w:ascii="Arial" w:hAnsi="Arial" w:cs="Arial"/>
          <w:sz w:val="18"/>
          <w:szCs w:val="18"/>
        </w:rPr>
        <w:t>uary</w:t>
      </w:r>
      <w:r w:rsidRPr="0095321B">
        <w:rPr>
          <w:rFonts w:ascii="Arial" w:hAnsi="Arial" w:cs="Arial"/>
          <w:sz w:val="18"/>
          <w:szCs w:val="18"/>
        </w:rPr>
        <w:t xml:space="preserve"> for lights on photocells; use 24 hours for non-switched lights</w:t>
      </w:r>
    </w:p>
    <w:p w:rsidR="002948B5" w:rsidRPr="0095321B" w:rsidRDefault="002948B5" w:rsidP="002948B5">
      <w:pPr>
        <w:tabs>
          <w:tab w:val="left" w:pos="3240"/>
          <w:tab w:val="right" w:pos="9000"/>
        </w:tabs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*</w:t>
      </w:r>
      <w:proofErr w:type="gramStart"/>
      <w:r w:rsidRPr="0095321B">
        <w:rPr>
          <w:rFonts w:ascii="Arial" w:hAnsi="Arial" w:cs="Arial"/>
          <w:sz w:val="18"/>
          <w:szCs w:val="18"/>
        </w:rPr>
        <w:t>*  Estimated</w:t>
      </w:r>
      <w:proofErr w:type="gramEnd"/>
      <w:r w:rsidRPr="009532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Pr="0095321B">
        <w:rPr>
          <w:rFonts w:ascii="Arial" w:hAnsi="Arial" w:cs="Arial"/>
          <w:sz w:val="18"/>
          <w:szCs w:val="18"/>
        </w:rPr>
        <w:t xml:space="preserve">nergy </w:t>
      </w:r>
      <w:r>
        <w:rPr>
          <w:rFonts w:ascii="Arial" w:hAnsi="Arial" w:cs="Arial"/>
          <w:sz w:val="18"/>
          <w:szCs w:val="18"/>
        </w:rPr>
        <w:t>c</w:t>
      </w:r>
      <w:r w:rsidRPr="0095321B">
        <w:rPr>
          <w:rFonts w:ascii="Arial" w:hAnsi="Arial" w:cs="Arial"/>
          <w:sz w:val="18"/>
          <w:szCs w:val="18"/>
        </w:rPr>
        <w:t>ost based on $</w:t>
      </w:r>
      <w:bookmarkStart w:id="4" w:name="bmkkWh"/>
      <w:r w:rsidRPr="0095321B">
        <w:rPr>
          <w:rFonts w:ascii="Arial" w:hAnsi="Arial" w:cs="Arial"/>
          <w:sz w:val="18"/>
          <w:szCs w:val="18"/>
        </w:rPr>
        <w:t>0.15</w:t>
      </w:r>
      <w:bookmarkEnd w:id="4"/>
      <w:r w:rsidRPr="0095321B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kilowatt-hour (</w:t>
      </w:r>
      <w:r w:rsidRPr="0095321B">
        <w:rPr>
          <w:rFonts w:ascii="Arial" w:hAnsi="Arial" w:cs="Arial"/>
          <w:sz w:val="18"/>
          <w:szCs w:val="18"/>
        </w:rPr>
        <w:t>kWh</w:t>
      </w:r>
      <w:r>
        <w:rPr>
          <w:rFonts w:ascii="Arial" w:hAnsi="Arial" w:cs="Arial"/>
          <w:sz w:val="18"/>
          <w:szCs w:val="18"/>
        </w:rPr>
        <w:t>)</w:t>
      </w:r>
      <w:r w:rsidRPr="0095321B">
        <w:rPr>
          <w:rFonts w:ascii="Arial" w:hAnsi="Arial" w:cs="Arial"/>
          <w:sz w:val="18"/>
          <w:szCs w:val="18"/>
        </w:rPr>
        <w:t>. Billed amount will reflect CG1 General Secondary rate in effect at time of use.</w:t>
      </w:r>
    </w:p>
    <w:p w:rsidR="002948B5" w:rsidRPr="0095321B" w:rsidRDefault="002948B5" w:rsidP="002948B5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3672"/>
      </w:tblGrid>
      <w:tr w:rsidR="002948B5" w:rsidRPr="0095321B" w:rsidTr="00BF386F">
        <w:trPr>
          <w:trHeight w:val="252"/>
        </w:trPr>
        <w:tc>
          <w:tcPr>
            <w:tcW w:w="5580" w:type="dxa"/>
          </w:tcPr>
          <w:p w:rsidR="002948B5" w:rsidRPr="00651A71" w:rsidRDefault="002948B5" w:rsidP="00BF386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51A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Licensee</w:t>
            </w:r>
          </w:p>
        </w:tc>
        <w:tc>
          <w:tcPr>
            <w:tcW w:w="3672" w:type="dxa"/>
          </w:tcPr>
          <w:p w:rsidR="002948B5" w:rsidRPr="00611116" w:rsidRDefault="002948B5" w:rsidP="00BF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Upper Michigan Energy Resources</w:t>
            </w:r>
          </w:p>
        </w:tc>
      </w:tr>
    </w:tbl>
    <w:p w:rsidR="002948B5" w:rsidRPr="0095321B" w:rsidRDefault="002948B5" w:rsidP="002948B5">
      <w:pP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tabs>
          <w:tab w:val="left" w:pos="4860"/>
          <w:tab w:val="left" w:pos="5580"/>
          <w:tab w:val="left" w:pos="1080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>(p</w:t>
      </w:r>
      <w:r w:rsidRPr="00F65E1F">
        <w:rPr>
          <w:rFonts w:ascii="Arial" w:hAnsi="Arial" w:cs="Arial"/>
          <w:sz w:val="16"/>
          <w:szCs w:val="16"/>
        </w:rPr>
        <w:t>rinted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65E1F"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>(p</w:t>
      </w:r>
      <w:r w:rsidRPr="00F65E1F">
        <w:rPr>
          <w:rFonts w:ascii="Arial" w:hAnsi="Arial" w:cs="Arial"/>
          <w:sz w:val="16"/>
          <w:szCs w:val="16"/>
        </w:rPr>
        <w:t>rinted)</w:t>
      </w:r>
    </w:p>
    <w:p w:rsidR="002948B5" w:rsidRPr="0095321B" w:rsidRDefault="002948B5" w:rsidP="002948B5">
      <w:pP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pBdr>
          <w:bottom w:val="single" w:sz="6" w:space="6" w:color="auto"/>
        </w:pBdr>
        <w:tabs>
          <w:tab w:val="left" w:pos="4860"/>
          <w:tab w:val="left" w:pos="5580"/>
          <w:tab w:val="left" w:pos="1080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>Title</w:t>
      </w:r>
      <w:r w:rsidRPr="00F65E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Title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Title</w:t>
      </w:r>
    </w:p>
    <w:p w:rsidR="002948B5" w:rsidRPr="0095321B" w:rsidRDefault="002948B5" w:rsidP="002948B5">
      <w:pPr>
        <w:pBdr>
          <w:bottom w:val="single" w:sz="6" w:space="6" w:color="auto"/>
        </w:pBd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  <w:u w:val="single"/>
        </w:rPr>
      </w:pPr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pBdr>
          <w:bottom w:val="single" w:sz="6" w:space="6" w:color="auto"/>
        </w:pBdr>
        <w:tabs>
          <w:tab w:val="left" w:pos="3510"/>
          <w:tab w:val="left" w:pos="5580"/>
          <w:tab w:val="left" w:pos="927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>Signature</w:t>
      </w:r>
      <w:r w:rsidRPr="00F65E1F">
        <w:rPr>
          <w:rFonts w:ascii="Arial" w:hAnsi="Arial" w:cs="Arial"/>
          <w:sz w:val="16"/>
          <w:szCs w:val="16"/>
        </w:rPr>
        <w:tab/>
        <w:t>Date</w:t>
      </w:r>
      <w:r w:rsidRPr="00F65E1F">
        <w:rPr>
          <w:rFonts w:ascii="Arial" w:hAnsi="Arial" w:cs="Arial"/>
          <w:sz w:val="16"/>
          <w:szCs w:val="16"/>
        </w:rPr>
        <w:tab/>
        <w:t>Signature</w:t>
      </w:r>
      <w:r w:rsidRPr="00F65E1F">
        <w:rPr>
          <w:rFonts w:ascii="Arial" w:hAnsi="Arial" w:cs="Arial"/>
          <w:sz w:val="16"/>
          <w:szCs w:val="16"/>
        </w:rPr>
        <w:tab/>
        <w:t>Date</w:t>
      </w:r>
    </w:p>
    <w:p w:rsidR="002948B5" w:rsidRPr="0095321B" w:rsidRDefault="002948B5" w:rsidP="002948B5">
      <w:pPr>
        <w:spacing w:before="240"/>
        <w:rPr>
          <w:rFonts w:ascii="Arial" w:hAnsi="Arial" w:cs="Arial"/>
          <w:b/>
          <w:sz w:val="18"/>
          <w:szCs w:val="18"/>
        </w:rPr>
      </w:pPr>
      <w:r w:rsidRPr="0095321B">
        <w:rPr>
          <w:rFonts w:ascii="Arial" w:hAnsi="Arial" w:cs="Arial"/>
          <w:b/>
          <w:sz w:val="18"/>
          <w:szCs w:val="18"/>
        </w:rPr>
        <w:t>Mail the bill to:</w:t>
      </w:r>
      <w:r w:rsidRPr="0095321B">
        <w:rPr>
          <w:rFonts w:ascii="Arial" w:hAnsi="Arial" w:cs="Arial"/>
          <w:b/>
          <w:sz w:val="18"/>
          <w:szCs w:val="18"/>
        </w:rPr>
        <w:tab/>
      </w:r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Name</w:t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Name"/>
            <w:enabled/>
            <w:calcOnExit/>
            <w:statusText w:type="text" w:val="ENTER NAME OF THE PERSON THAT THE HOLIDAY LIGHTING ENERGY BILL SHOULD BE MAILED TO."/>
            <w:textInput/>
          </w:ffData>
        </w:fldChar>
      </w:r>
      <w:bookmarkStart w:id="9" w:name="bmkMailName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Address"/>
            <w:enabled/>
            <w:calcOnExit/>
            <w:statusText w:type="text" w:val="ENTER THE STREET OR PO NUMBER OF THE MAILING ADDRESS.  TAB TO THE NEXT LINE."/>
            <w:textInput/>
          </w:ffData>
        </w:fldChar>
      </w:r>
      <w:bookmarkStart w:id="10" w:name="bmkMailAddress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City"/>
            <w:enabled/>
            <w:calcOnExit/>
            <w:statusText w:type="text" w:val="ENTER THE CITY, STATE &amp; ZIP CODE FOR THE MAILING ADDRESS."/>
            <w:textInput/>
          </w:ffData>
        </w:fldChar>
      </w:r>
      <w:bookmarkStart w:id="11" w:name="bmkMailCity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11"/>
    </w:p>
    <w:p w:rsidR="002948B5" w:rsidRPr="003A0E5C" w:rsidRDefault="002948B5" w:rsidP="002948B5">
      <w:pPr>
        <w:spacing w:before="100"/>
        <w:rPr>
          <w:rFonts w:ascii="Arial" w:hAnsi="Arial" w:cs="Arial"/>
          <w:b/>
          <w:sz w:val="18"/>
          <w:szCs w:val="18"/>
        </w:rPr>
      </w:pPr>
      <w:r w:rsidRPr="003A0E5C">
        <w:rPr>
          <w:rFonts w:ascii="Arial" w:hAnsi="Arial" w:cs="Arial"/>
          <w:b/>
          <w:sz w:val="18"/>
          <w:szCs w:val="18"/>
        </w:rPr>
        <w:t xml:space="preserve">Return to </w:t>
      </w:r>
      <w:hyperlink r:id="rId8" w:history="1">
        <w:r w:rsidRPr="003A0E5C">
          <w:rPr>
            <w:rStyle w:val="Hyperlink"/>
            <w:rFonts w:ascii="Arial" w:hAnsi="Arial" w:cs="Arial"/>
            <w:b/>
            <w:sz w:val="18"/>
            <w:szCs w:val="18"/>
          </w:rPr>
          <w:t>lynn.schad@wisconsinpublicservice.com</w:t>
        </w:r>
      </w:hyperlink>
      <w:r w:rsidRPr="003A0E5C">
        <w:rPr>
          <w:rFonts w:ascii="Arial" w:hAnsi="Arial" w:cs="Arial"/>
          <w:b/>
          <w:sz w:val="18"/>
          <w:szCs w:val="18"/>
        </w:rPr>
        <w:t xml:space="preserve"> or fax to 920-433-1381.</w:t>
      </w:r>
    </w:p>
    <w:p w:rsidR="002948B5" w:rsidRPr="0095321B" w:rsidRDefault="002948B5" w:rsidP="002948B5">
      <w:pPr>
        <w:spacing w:before="10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a completed agreement is not received before Feb. 15, 2020, Upper Michigan Energy Resources will calculate estimated energy use based on historical use plus 5%. No credit will be issued for documentation received after the cut-off date.</w:t>
      </w:r>
    </w:p>
    <w:p w:rsidR="008810E6" w:rsidRPr="002948B5" w:rsidRDefault="002948B5" w:rsidP="002948B5">
      <w:pPr>
        <w:spacing w:before="100"/>
        <w:rPr>
          <w:rFonts w:ascii="Arial" w:hAnsi="Arial" w:cs="Arial"/>
          <w:color w:val="000000" w:themeColor="text1"/>
          <w:sz w:val="18"/>
          <w:szCs w:val="18"/>
        </w:rPr>
      </w:pPr>
      <w:r w:rsidRPr="0095321B">
        <w:rPr>
          <w:rFonts w:ascii="Arial" w:hAnsi="Arial" w:cs="Arial"/>
          <w:color w:val="000000" w:themeColor="text1"/>
          <w:sz w:val="18"/>
          <w:szCs w:val="18"/>
        </w:rPr>
        <w:t>If connected load is found to exceed reported load, license may be revoked for current and future years.</w:t>
      </w:r>
    </w:p>
    <w:sectPr w:rsidR="008810E6" w:rsidRPr="002948B5" w:rsidSect="0097399F">
      <w:pgSz w:w="12240" w:h="15840" w:code="1"/>
      <w:pgMar w:top="720" w:right="720" w:bottom="720" w:left="720" w:header="634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2CC6"/>
    <w:multiLevelType w:val="singleLevel"/>
    <w:tmpl w:val="AF1672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B5"/>
    <w:rsid w:val="00030AD2"/>
    <w:rsid w:val="002948B5"/>
    <w:rsid w:val="00625470"/>
    <w:rsid w:val="00854C85"/>
    <w:rsid w:val="008810E6"/>
    <w:rsid w:val="008E1CDE"/>
    <w:rsid w:val="0097399F"/>
    <w:rsid w:val="00E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48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48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schad@wisconsinpublicservic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ldolgne</dc:creator>
  <cp:lastModifiedBy>Gauthier, Tim D</cp:lastModifiedBy>
  <cp:revision>2</cp:revision>
  <cp:lastPrinted>2019-10-16T14:34:00Z</cp:lastPrinted>
  <dcterms:created xsi:type="dcterms:W3CDTF">2020-03-11T13:48:00Z</dcterms:created>
  <dcterms:modified xsi:type="dcterms:W3CDTF">2020-03-11T13:48:00Z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